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BE58A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Platnosť nariadenia od: 1. júla 2020, 0:00 hod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Platnosť nariadenia do: do odvolania</w:t>
      </w:r>
    </w:p>
    <w:p w14:paraId="7E519C32" w14:textId="77777777" w:rsidR="008269D0" w:rsidRPr="008269D0" w:rsidRDefault="008269D0" w:rsidP="008269D0">
      <w:pPr>
        <w:shd w:val="clear" w:color="auto" w:fill="FFFFFF"/>
        <w:spacing w:before="100" w:beforeAutospacing="1" w:after="225" w:line="240" w:lineRule="auto"/>
        <w:rPr>
          <w:rFonts w:ascii="Source Sans Pro" w:eastAsia="Times New Roman" w:hAnsi="Source Sans Pro" w:cs="Times New Roman"/>
          <w:color w:val="6F777B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6F777B"/>
          <w:sz w:val="29"/>
          <w:szCs w:val="29"/>
          <w:lang w:eastAsia="sk-SK"/>
        </w:rPr>
        <w:t>Aktualizované 6. júla 2020</w:t>
      </w:r>
    </w:p>
    <w:p w14:paraId="1BE22BCB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Pri usporadúvaní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hromadných a športových </w:t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podujatí 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je potrebné dodržiavať nasledovné povinnosti:</w:t>
      </w:r>
    </w:p>
    <w:p w14:paraId="4EB6C783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vstup a pobyt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v mieste hromadného podujatia umožniť </w:t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len s prekrytými hornými dýchacími cestami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(napríklad rúško, šál šatka),</w:t>
      </w:r>
    </w:p>
    <w:p w14:paraId="5510D257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vykonávať </w:t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častú dezinfekciu priestorov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, najmä dotykových plôch (kľučiek, podláh a predmetov),</w:t>
      </w:r>
    </w:p>
    <w:p w14:paraId="01624713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hygienické zariadenia musia byť vybavené tekutým mydlom a papierovými utierkami,</w:t>
      </w:r>
    </w:p>
    <w:p w14:paraId="324D53DC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zaistiť pri vstupe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do budovy dávkovače na </w:t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alkoholovú dezinfekciu rúk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alebo iný adekvátny spôsob dezinfekcie rúk a dbať na časté dezinfikovanie rúk,</w:t>
      </w:r>
    </w:p>
    <w:p w14:paraId="5B96DBFD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zabezpečiť pri vstupe do budovy </w:t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oznam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o povinnosti, že v prípade vzniku akútneho respiračného ochorenia (napr. horúčka, kašeľ, nádcha, sťažené dýchanie) je osoba povinná zostať v domácej izolácii,</w:t>
      </w:r>
    </w:p>
    <w:p w14:paraId="45825FAD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zabezpečiť dostatočné vetranie priestorov,</w:t>
      </w:r>
    </w:p>
    <w:p w14:paraId="359D3B14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podmienky sa príslušne aplikujú aj na hromadné podujatia organizované v exteriéri,</w:t>
      </w:r>
    </w:p>
    <w:p w14:paraId="6BF02FD3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v prípade hromadných podujatí organizovaných v exteriéri je organizátor povinný vyhradiť priestor hromadného podujatia a vyznačiť jeho vstup a výstup,</w:t>
      </w:r>
    </w:p>
    <w:p w14:paraId="7867AF61" w14:textId="77777777" w:rsidR="008269D0" w:rsidRPr="008269D0" w:rsidRDefault="008269D0" w:rsidP="008269D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organizátor musí byť v každej chvíli schopný preukázať počet osôb aktuálne sa zúčastňujúcich na hromadnom podujatí.</w:t>
      </w:r>
    </w:p>
    <w:p w14:paraId="3CC014A6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Okrem toho musia organizátori podujatí zabezpečiť dodržiavanie dvojmetrových rozostupov medzi osobami, s výnimkou pre:</w:t>
      </w:r>
    </w:p>
    <w:p w14:paraId="2FE4FA40" w14:textId="4EB47F47" w:rsidR="008269D0" w:rsidRPr="008269D0" w:rsidRDefault="008269D0" w:rsidP="008269D0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rodinných príslušn</w:t>
      </w:r>
      <w:r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í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kov, partnerov a osôb z jednej domácnosti,</w:t>
      </w:r>
    </w:p>
    <w:p w14:paraId="7E6129D6" w14:textId="77777777" w:rsidR="008269D0" w:rsidRPr="008269D0" w:rsidRDefault="008269D0" w:rsidP="008269D0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športovcov a umelcov vykonávajúcich svoje povolanie,</w:t>
      </w:r>
    </w:p>
    <w:p w14:paraId="708EE69C" w14:textId="77777777" w:rsidR="008269D0" w:rsidRPr="008269D0" w:rsidRDefault="008269D0" w:rsidP="008269D0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divákov v hľadisku,</w:t>
      </w:r>
    </w:p>
    <w:p w14:paraId="3531CFDB" w14:textId="77777777" w:rsidR="008269D0" w:rsidRPr="008269D0" w:rsidRDefault="008269D0" w:rsidP="008269D0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lastRenderedPageBreak/>
        <w:t>školiteľov.</w:t>
      </w:r>
    </w:p>
    <w:p w14:paraId="52FFCEA9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Zároveň majú organizátori povinnosť:</w:t>
      </w:r>
    </w:p>
    <w:p w14:paraId="3AA81BE3" w14:textId="77777777" w:rsidR="008269D0" w:rsidRPr="008269D0" w:rsidRDefault="008269D0" w:rsidP="008269D0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ak sa u osoby prejavia príznaky akútneho respiračného ochorenia, je potrebné telefonicky kontaktovať svojho ošetrujúceho lekára a opustiť miesto hromadného podujatia,</w:t>
      </w:r>
    </w:p>
    <w:p w14:paraId="5E429BEB" w14:textId="77777777" w:rsidR="008269D0" w:rsidRPr="008269D0" w:rsidRDefault="008269D0" w:rsidP="008269D0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pravidelne si umývať ruky mydlom a teplou vodou, následne ruky utierať do jednorazových papierových obrúskov,</w:t>
      </w:r>
    </w:p>
    <w:p w14:paraId="3C647903" w14:textId="77777777" w:rsidR="008269D0" w:rsidRPr="008269D0" w:rsidRDefault="008269D0" w:rsidP="008269D0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zákaz podávania rúk.</w:t>
      </w:r>
    </w:p>
    <w:p w14:paraId="75833E7B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Pri hromadných podujatiach nad 1000 ľudí s výlučne sediacim obecenstvom 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je organizátor povinný (pokiaľ je schopný) zabezpečiť a dodržiavať nasledovné:</w:t>
      </w:r>
    </w:p>
    <w:p w14:paraId="4700DF15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Platnosť nariadenia od: 7. júla 2020, 0:00 hod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Platnosť nariadenia do: do odvolania</w:t>
      </w:r>
    </w:p>
    <w:p w14:paraId="077AFFC6" w14:textId="77777777" w:rsidR="008269D0" w:rsidRPr="008269D0" w:rsidRDefault="008269D0" w:rsidP="008269D0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zabezpečiť sedenie obecenstva iba v každom druhom rade,</w:t>
      </w:r>
    </w:p>
    <w:p w14:paraId="14B30BED" w14:textId="77777777" w:rsidR="008269D0" w:rsidRPr="008269D0" w:rsidRDefault="008269D0" w:rsidP="008269D0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obsadenie kapacity priestorov určených pre sediace obecenstvo nemôže byť vyššie ako 50%.</w:t>
      </w:r>
    </w:p>
    <w:p w14:paraId="33DD3108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Pri hromadných podujatiach nad 1000 ľudí v prípade že je organizátor schopný zabezpečiť rozdelenie priestoru podujatia na sektory 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je organizátor povinný (pokiaľ je schopný) zabezpečiť a dodržiavať nasledovné:</w:t>
      </w:r>
    </w:p>
    <w:p w14:paraId="47AEC0A5" w14:textId="77777777" w:rsidR="008269D0" w:rsidRPr="008269D0" w:rsidRDefault="008269D0" w:rsidP="008269D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Platnosť nariadenia od: 7. júla 2020, 0:00 hod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</w:r>
      <w:r w:rsidRPr="008269D0">
        <w:rPr>
          <w:rFonts w:ascii="Source Sans Pro" w:eastAsia="Times New Roman" w:hAnsi="Source Sans Pro" w:cs="Times New Roman"/>
          <w:b/>
          <w:bCs/>
          <w:color w:val="0B0C0C"/>
          <w:sz w:val="29"/>
          <w:szCs w:val="29"/>
          <w:lang w:eastAsia="sk-SK"/>
        </w:rPr>
        <w:t>Platnosť nariadenia do: do odvolania</w:t>
      </w:r>
    </w:p>
    <w:p w14:paraId="16215163" w14:textId="77777777" w:rsidR="008269D0" w:rsidRPr="008269D0" w:rsidRDefault="008269D0" w:rsidP="008269D0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zabezpečiť kontrolovaný vstup a výstup do sektoru hromadného podujatia,</w:t>
      </w:r>
    </w:p>
    <w:p w14:paraId="173BF578" w14:textId="77777777" w:rsidR="008269D0" w:rsidRPr="008269D0" w:rsidRDefault="008269D0" w:rsidP="008269D0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v sektore sa v jednej chvíli môže nachádzať najviac 1000 osôb,</w:t>
      </w:r>
    </w:p>
    <w:p w14:paraId="7244C067" w14:textId="77777777" w:rsidR="008269D0" w:rsidRPr="008269D0" w:rsidRDefault="008269D0" w:rsidP="008269D0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organizátor musí byť v každej chvíli schopný preukázať počet osôb aktuálne sa</w:t>
      </w: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nachádzajúcich v jednotlivých sektoroch,</w:t>
      </w:r>
    </w:p>
    <w:p w14:paraId="52961804" w14:textId="77777777" w:rsidR="008269D0" w:rsidRPr="008269D0" w:rsidRDefault="008269D0" w:rsidP="008269D0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pre exteriérové sektory, na jednu osobu musí pripadať najmenej 5 m štvorcových plochy sektoru,</w:t>
      </w:r>
    </w:p>
    <w:p w14:paraId="6324412B" w14:textId="77777777" w:rsidR="008269D0" w:rsidRPr="008269D0" w:rsidRDefault="008269D0" w:rsidP="008269D0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pre interiérové sektory, na jednu osobu musí pripadať najmenej 10 m štvorcových plochy sektoru,</w:t>
      </w:r>
    </w:p>
    <w:p w14:paraId="00E50829" w14:textId="77777777" w:rsidR="008269D0" w:rsidRPr="008269D0" w:rsidRDefault="008269D0" w:rsidP="008269D0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8269D0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lastRenderedPageBreak/>
        <w:t>pokiaľ je pre účasť na hromadnom podujatí potrebná vstupenka alebo iný obdobný doklad, odporúča sa jej predaj účastníkom iba online spôsobom.</w:t>
      </w:r>
    </w:p>
    <w:p w14:paraId="69B2A2CD" w14:textId="77777777" w:rsidR="00D87799" w:rsidRDefault="00D87799"/>
    <w:sectPr w:rsidR="00D8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B5819"/>
    <w:multiLevelType w:val="multilevel"/>
    <w:tmpl w:val="FB24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0A122E"/>
    <w:multiLevelType w:val="multilevel"/>
    <w:tmpl w:val="3E1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675CD2"/>
    <w:multiLevelType w:val="multilevel"/>
    <w:tmpl w:val="40C4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0E60DF"/>
    <w:multiLevelType w:val="multilevel"/>
    <w:tmpl w:val="119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6A150E"/>
    <w:multiLevelType w:val="multilevel"/>
    <w:tmpl w:val="017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0"/>
    <w:rsid w:val="008269D0"/>
    <w:rsid w:val="00D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2297"/>
  <w15:chartTrackingRefBased/>
  <w15:docId w15:val="{A26F4BC0-F97F-4CDA-8B83-FEF9B9F9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ovuk-body">
    <w:name w:val="govuk-body"/>
    <w:basedOn w:val="Normlny"/>
    <w:rsid w:val="0082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269D0"/>
    <w:rPr>
      <w:b/>
      <w:bCs/>
    </w:rPr>
  </w:style>
  <w:style w:type="paragraph" w:customStyle="1" w:styleId="govuk-hint">
    <w:name w:val="govuk-hint"/>
    <w:basedOn w:val="Normlny"/>
    <w:rsid w:val="0082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SZZ</dc:creator>
  <cp:keywords/>
  <dc:description/>
  <cp:lastModifiedBy>SZZ</cp:lastModifiedBy>
  <cp:revision>1</cp:revision>
  <dcterms:created xsi:type="dcterms:W3CDTF">2020-08-18T13:08:00Z</dcterms:created>
  <dcterms:modified xsi:type="dcterms:W3CDTF">2020-08-18T13:09:00Z</dcterms:modified>
</cp:coreProperties>
</file>